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5"/>
        <w:jc w:val="center"/>
        <w:spacing w:line="240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32"/>
          <w:szCs w:val="32"/>
        </w:rPr>
      </w:r>
    </w:p>
    <w:p>
      <w:pPr>
        <w:pStyle w:val="666"/>
        <w:ind w:left="0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проекту решения Думы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Артемовского городского округа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cs="Tinos"/>
          <w:b/>
          <w:bCs/>
          <w:sz w:val="24"/>
          <w:szCs w:val="24"/>
        </w:rPr>
      </w:r>
    </w:p>
    <w:p>
      <w:pPr>
        <w:pStyle w:val="666"/>
        <w:ind w:left="0" w:right="0" w:firstLine="0"/>
        <w:jc w:val="center"/>
        <w:rPr>
          <w:rFonts w:ascii="Tinos" w:hAnsi="Tinos" w:cs="Tinos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О внесении изменений в некоторые решения Думы Артемовского городского округа»</w:t>
      </w:r>
      <w:r>
        <w:rPr>
          <w:rFonts w:ascii="Tinos" w:hAnsi="Tinos" w:cs="Tinos"/>
          <w:b/>
          <w:bCs/>
          <w:sz w:val="24"/>
          <w:szCs w:val="24"/>
        </w:rPr>
      </w:r>
      <w:r/>
    </w:p>
    <w:p>
      <w:pPr>
        <w:ind w:right="-57"/>
        <w:jc w:val="left"/>
        <w:spacing w:line="240" w:lineRule="auto"/>
        <w:tabs>
          <w:tab w:val="left" w:pos="7836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5"/>
        <w:ind w:right="-57"/>
        <w:jc w:val="left"/>
        <w:spacing w:line="240" w:lineRule="auto"/>
        <w:tabs>
          <w:tab w:val="left" w:pos="7836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66"/>
        <w:ind w:left="0" w:right="0" w:firstLine="567"/>
        <w:jc w:val="both"/>
        <w:spacing w:line="360" w:lineRule="auto"/>
        <w:rPr>
          <w:rFonts w:ascii="Tinos" w:hAnsi="Tinos" w:cs="Tinos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Реализация п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роект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а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 р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ешени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я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 Думы 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Артемовского городского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внесении изменений в некоторые решения Думы Артемовского городского округа» </w:t>
      </w:r>
      <w:r>
        <w:rPr>
          <w:rFonts w:ascii="Tinos" w:hAnsi="Tinos" w:cs="Tinos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 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повлечёт за собой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 дополнительные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 финансовые 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расходы за счет средств бюджета Артемовского городского округа</w:t>
      </w:r>
      <w:r>
        <w:rPr>
          <w:rFonts w:ascii="Times New Roman" w:hAnsi="Times New Roman" w:eastAsia="Calibri" w:cs="Times New Roman"/>
          <w:b w:val="0"/>
          <w:sz w:val="28"/>
          <w:szCs w:val="28"/>
          <w:lang w:eastAsia="en-US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32"/>
          <w:szCs w:val="32"/>
          <w:highlight w:val="none"/>
        </w:rPr>
      </w:r>
      <w:r/>
      <w:r>
        <w:rPr>
          <w:rFonts w:ascii="Tinos" w:hAnsi="Tinos" w:cs="Tinos"/>
          <w:b w:val="0"/>
          <w:bCs w:val="0"/>
          <w:sz w:val="24"/>
          <w:szCs w:val="24"/>
        </w:rPr>
      </w:r>
    </w:p>
    <w:p>
      <w:pPr>
        <w:pStyle w:val="666"/>
        <w:ind w:right="-284" w:firstLine="709"/>
        <w:jc w:val="both"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right="-284"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ind w:right="-28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default" r:id="rId10"/>
      <w:footnotePr/>
      <w:endnotePr/>
      <w:type w:val="nextPage"/>
      <w:pgSz w:w="11907" w:h="16840" w:orient="portrait"/>
      <w:pgMar w:top="1418" w:right="965" w:bottom="1418" w:left="1730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Times New Roman CYR">
    <w:panose1 w:val="02000603000000000000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sz w:val="16"/>
      </w:rPr>
      <w:t xml:space="preserve">ФЭО Структура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  <w:jc w:val="center"/>
      <w:tabs>
        <w:tab w:val="clear" w:pos="4153" w:leader="none"/>
        <w:tab w:val="clear" w:pos="8306" w:leader="none"/>
      </w:tabs>
    </w:pPr>
    <w:r>
      <w:rPr>
        <w:rStyle w:val="661"/>
      </w:rPr>
      <w:fldChar w:fldCharType="begin"/>
    </w:r>
    <w:r>
      <w:rPr>
        <w:rStyle w:val="661"/>
      </w:rPr>
      <w:instrText xml:space="preserve"> PAGE </w:instrText>
    </w:r>
    <w:r>
      <w:rPr>
        <w:rStyle w:val="661"/>
      </w:rPr>
      <w:fldChar w:fldCharType="separate"/>
    </w:r>
    <w:r>
      <w:rPr>
        <w:rStyle w:val="661"/>
      </w:rPr>
      <w:t xml:space="preserve">2</w:t>
    </w:r>
    <w:r>
      <w:rPr>
        <w:rStyle w:val="661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4"/>
      <w:jc w:val="center"/>
      <w:tabs>
        <w:tab w:val="clear" w:pos="4153" w:leader="none"/>
        <w:tab w:val="clear" w:pos="8306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5"/>
    <w:next w:val="65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5"/>
    <w:next w:val="65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5"/>
    <w:next w:val="65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5"/>
    <w:next w:val="65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5"/>
    <w:next w:val="6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5"/>
    <w:next w:val="6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5"/>
    <w:next w:val="6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5"/>
    <w:next w:val="6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5"/>
    <w:next w:val="6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5"/>
    <w:next w:val="65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5"/>
    <w:next w:val="65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5"/>
    <w:next w:val="6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5"/>
    <w:next w:val="6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5"/>
    <w:next w:val="6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5"/>
    <w:next w:val="6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5"/>
    <w:next w:val="6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5"/>
    <w:next w:val="6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5"/>
    <w:next w:val="6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5"/>
    <w:next w:val="6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5"/>
    <w:next w:val="6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5"/>
    <w:next w:val="6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5"/>
    <w:next w:val="6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5"/>
    <w:next w:val="655"/>
    <w:uiPriority w:val="99"/>
    <w:unhideWhenUsed/>
    <w:pPr>
      <w:spacing w:after="0" w:afterAutospacing="0"/>
    </w:pPr>
  </w:style>
  <w:style w:type="paragraph" w:styleId="655" w:default="1">
    <w:name w:val="Normal"/>
    <w:next w:val="655"/>
    <w:link w:val="655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paragraph" w:styleId="656">
    <w:name w:val="Заголовок 4"/>
    <w:basedOn w:val="655"/>
    <w:next w:val="655"/>
    <w:link w:val="660"/>
    <w:qFormat/>
    <w:pPr>
      <w:keepNext/>
      <w:spacing w:line="240" w:lineRule="auto"/>
      <w:outlineLvl w:val="3"/>
    </w:pPr>
    <w:rPr>
      <w:sz w:val="24"/>
    </w:rPr>
  </w:style>
  <w:style w:type="character" w:styleId="657">
    <w:name w:val="Основной шрифт абзаца"/>
    <w:next w:val="657"/>
    <w:link w:val="655"/>
    <w:semiHidden/>
  </w:style>
  <w:style w:type="table" w:styleId="658">
    <w:name w:val="Обычная таблица"/>
    <w:next w:val="658"/>
    <w:link w:val="655"/>
    <w:semiHidden/>
    <w:tblPr/>
  </w:style>
  <w:style w:type="numbering" w:styleId="659">
    <w:name w:val="Нет списка"/>
    <w:next w:val="659"/>
    <w:link w:val="655"/>
    <w:uiPriority w:val="99"/>
    <w:semiHidden/>
    <w:unhideWhenUsed/>
  </w:style>
  <w:style w:type="character" w:styleId="660">
    <w:name w:val="Заголовок 4 Знак"/>
    <w:next w:val="660"/>
    <w:link w:val="656"/>
    <w:rPr>
      <w:rFonts w:ascii="Times New Roman" w:hAnsi="Times New Roman"/>
      <w:sz w:val="24"/>
    </w:rPr>
  </w:style>
  <w:style w:type="character" w:styleId="661">
    <w:name w:val="Номер страницы"/>
    <w:next w:val="661"/>
    <w:link w:val="655"/>
  </w:style>
  <w:style w:type="paragraph" w:styleId="662">
    <w:name w:val="Текст выноски"/>
    <w:basedOn w:val="655"/>
    <w:next w:val="662"/>
    <w:link w:val="663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663">
    <w:name w:val="Текст выноски Знак"/>
    <w:next w:val="663"/>
    <w:link w:val="662"/>
    <w:rPr>
      <w:rFonts w:ascii="Segoe UI" w:hAnsi="Segoe UI" w:cs="Segoe UI"/>
      <w:sz w:val="18"/>
      <w:szCs w:val="18"/>
    </w:rPr>
  </w:style>
  <w:style w:type="paragraph" w:styleId="664">
    <w:name w:val="Верхний колонтитул"/>
    <w:basedOn w:val="655"/>
    <w:next w:val="664"/>
    <w:link w:val="655"/>
    <w:pPr>
      <w:tabs>
        <w:tab w:val="center" w:pos="4153" w:leader="none"/>
        <w:tab w:val="right" w:pos="8306" w:leader="none"/>
      </w:tabs>
    </w:pPr>
  </w:style>
  <w:style w:type="paragraph" w:styleId="665">
    <w:name w:val="Нижний колонтитул"/>
    <w:basedOn w:val="655"/>
    <w:next w:val="665"/>
    <w:link w:val="655"/>
    <w:pPr>
      <w:tabs>
        <w:tab w:val="center" w:pos="4153" w:leader="none"/>
        <w:tab w:val="right" w:pos="8306" w:leader="none"/>
      </w:tabs>
    </w:pPr>
  </w:style>
  <w:style w:type="paragraph" w:styleId="666">
    <w:name w:val="ConsPlusTitle"/>
    <w:next w:val="666"/>
    <w:link w:val="655"/>
    <w:pPr>
      <w:widowControl w:val="off"/>
    </w:pPr>
    <w:rPr>
      <w:rFonts w:ascii="Arial" w:hAnsi="Arial" w:cs="Arial"/>
      <w:b/>
      <w:szCs w:val="22"/>
      <w:lang w:val="ru-RU" w:eastAsia="ru-RU" w:bidi="ar-SA"/>
    </w:rPr>
  </w:style>
  <w:style w:type="character" w:styleId="715" w:default="1">
    <w:name w:val="Default Paragraph Font"/>
    <w:uiPriority w:val="1"/>
    <w:semiHidden/>
    <w:unhideWhenUsed/>
  </w:style>
  <w:style w:type="numbering" w:styleId="716" w:default="1">
    <w:name w:val="No List"/>
    <w:uiPriority w:val="99"/>
    <w:semiHidden/>
    <w:unhideWhenUsed/>
  </w:style>
  <w:style w:type="table" w:styleId="7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revision>18</cp:revision>
  <dcterms:created xsi:type="dcterms:W3CDTF">2022-08-30T05:44:00Z</dcterms:created>
  <dcterms:modified xsi:type="dcterms:W3CDTF">2025-12-05T00:25:53Z</dcterms:modified>
  <cp:version>983040</cp:version>
</cp:coreProperties>
</file>